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58F8" w14:textId="77777777" w:rsidR="006C1DA2" w:rsidRPr="006C1DA2" w:rsidRDefault="006C1DA2" w:rsidP="006C1D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1"/>
          <w:szCs w:val="21"/>
          <w:bdr w:val="none" w:sz="0" w:space="0" w:color="auto" w:frame="1"/>
          <w:lang w:eastAsia="ru-RU"/>
        </w:rPr>
        <w:t>Порядок выполнения технологического присоединения, этапы технологического присоединения и их сроки.</w:t>
      </w:r>
    </w:p>
    <w:p w14:paraId="6AB31927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Пункт 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РФ № 861 от 27.12.2004) (далее-Правила) устанавливает следующую процедуру технологического присоединения:</w:t>
      </w:r>
    </w:p>
    <w:p w14:paraId="73D8DF0E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14:paraId="61F21FE2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заключение договора;</w:t>
      </w:r>
    </w:p>
    <w:p w14:paraId="20BE0E6D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выполнение сторонами договора мероприятий по технологическому присоединению, предусмотренных договором;</w:t>
      </w:r>
    </w:p>
    <w:p w14:paraId="363C1F99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г) 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 Правил технологического присоединения,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объектов лиц, указанных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пунктах 12(1)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13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и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14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 Правил технологического присоединения, а также в отношении объектов электросетевого хозяйства сетевых организаций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пунктов 18(1)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-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18(4)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 не требуется;</w:t>
      </w:r>
    </w:p>
    <w:p w14:paraId="3B950CAB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технологического присоединения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14:paraId="6013DF06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В отношении заявителей, указанных в пунктах 12(1), 13(2) - 13(5) и 14 Правил технологического присоединения,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и для выдачи объектами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микрогенерации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14:paraId="755FE063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Для целей Правил технологического присоединения под осуществлением действиями заявителя фактического присоединения и фактического приема (выдачи объектами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микрогенерации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)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микрогенерации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) заявителя. Фактический прием напряжения и мощности 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>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</w:r>
    </w:p>
    <w:p w14:paraId="7A3035CA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е) составление акта об осуществлении технологического присоединения по форме согласно приложению N 1 (для заявителей, указанных в пунктах 12(1), 13(2) - 13(5) и 14 Правил технологического присоединения,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и ниже, - уведомления об обеспечении сетевой организацией возможности присоединения к электрическим сетям по форме согласно приложению N 1(1), а также акта согласования технологической и (или) аварийной брони (для заявителей, указанных в пункте 14(2) Правил технологического присоединения).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br/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br/>
      </w:r>
    </w:p>
    <w:p w14:paraId="268C8217" w14:textId="77777777" w:rsidR="006C1DA2" w:rsidRPr="006C1DA2" w:rsidRDefault="006C1DA2" w:rsidP="006C1DA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>Пункты 16. б), 18-19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РФ № 861 от 27.12.2004) устанавливают следующие мероприятия по технологическому присоединению:</w:t>
      </w:r>
    </w:p>
    <w:p w14:paraId="776781FF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16.б)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14:paraId="58F30514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14:paraId="7E16AA67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14:paraId="46941EF7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4 месяца - для заявителей, максимальная мощность энергопринимающих устройств которых составляет до 670 кВт включительно;</w:t>
      </w:r>
    </w:p>
    <w:p w14:paraId="3B74B2C9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 год - для заявителей, максимальная мощность энергопринимающих устройств которых составляет свыше 670 кВт;</w:t>
      </w:r>
    </w:p>
    <w:p w14:paraId="06FBA6AF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 иных случаях:</w:t>
      </w:r>
    </w:p>
    <w:p w14:paraId="7F363CFF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15 рабочих дней (если в заявке не указан более продолжительный срок) -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14:paraId="5ECEF008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6 месяцев - для заявителей, указанных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пунктах 12(1)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14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и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34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 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14:paraId="43DB443D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1 год - для заявителей, максимальная мощность энергопринимающих устройств которых составляет менее 670 кВт, если более короткие сроки не предусмотрены 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>инвестиционной программой соответствующей сетевой организации или соглашением сторон;</w:t>
      </w:r>
    </w:p>
    <w:p w14:paraId="4DD5B020" w14:textId="77777777" w:rsidR="006C1DA2" w:rsidRPr="006C1DA2" w:rsidRDefault="006C1DA2" w:rsidP="006C1DA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14:paraId="19D29EE8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18. Мероприятия по технологическому присоединению включают в себя:</w:t>
      </w:r>
    </w:p>
    <w:p w14:paraId="4026F79C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  <w:r w:rsidRPr="006C1DA2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</w:p>
    <w:p w14:paraId="31F5E088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14:paraId="40B39879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44ED3658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14:paraId="5B4AA662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д) проверку выполнения заявителем и сетевой организацией технических условий в соответствии с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разделом IX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присоединения.</w:t>
      </w:r>
    </w:p>
    <w:p w14:paraId="59DDE454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18(1). Заявители, указанные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 Правил технологического приложения, технологическое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заявители - юридические лица или индивидуальные предприниматели, технологическое присоединение энергопринимающих устройств (максимальной мощностью до 150 кВт включительно с учетом ранее присоединенных в данной точке присоединения энергопринимающих устройств) которых осуществляется по второй категории надежности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и сетевая организация в отношении объектов электросетевого хозяйства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построенных (реконструированных) ею в рамках исполнения технических условий в целях осуществления технологического присоединения объектов заявителя, оформляют акт о выполнении технических условий по форме 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14:paraId="308D457B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14:paraId="36AF46CB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14:paraId="7D3B9BAE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gram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б(</w:t>
      </w:r>
      <w:proofErr w:type="gram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</w:p>
    <w:p w14:paraId="72D05C6B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14:paraId="3E76589A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18(2). К уведомлению о готовности на ввод в эксплуатацию объектов прилагаются следующие документы:</w:t>
      </w:r>
    </w:p>
    <w:p w14:paraId="5D31DCCB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копия технических условий;</w:t>
      </w:r>
    </w:p>
    <w:p w14:paraId="5CF03136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копия акта о выполнении заявителем технических условий (в случаях технологического присоединения объектов заявителей, указанных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 Правил технологического присоединения,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заявителей -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второй категории надежности);</w:t>
      </w:r>
    </w:p>
    <w:p w14:paraId="059CB9D1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законодательством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Российской Федерации о градостроительной деятельности разработка проектной документации не является обязательной;</w:t>
      </w:r>
    </w:p>
    <w:p w14:paraId="68912831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д)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присоединение);</w:t>
      </w:r>
    </w:p>
    <w:p w14:paraId="23BFD285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18(3).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объектов.</w:t>
      </w:r>
    </w:p>
    <w:p w14:paraId="10FBEF51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</w:t>
      </w:r>
      <w:proofErr w:type="spell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 и получения уведомления о готовности на ввод в эксплуатацию объектов.</w:t>
      </w:r>
    </w:p>
    <w:p w14:paraId="2C18B657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18(4). Объекты, указанные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18(1)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14:paraId="4B17FF1F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18(5). Заявитель, максимальная мощность энергопринимающих устройств которого составляет менее 150 кВт включительно, вправе в инициативном порядке представить </w:t>
      </w:r>
      <w:proofErr w:type="gram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 сетевую организацию</w:t>
      </w:r>
      <w:proofErr w:type="gram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разработанную им в соответствии с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подпунктом "в" пункта 18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 проектную документацию на подтверждение ее соответствия техническим условиям.</w:t>
      </w:r>
    </w:p>
    <w:p w14:paraId="72A32818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Правилами технологического присоединения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 xml:space="preserve">технических условий не должен превышать 10 дней со дня получения сетевой организацией документации от заявителя, </w:t>
      </w:r>
      <w:proofErr w:type="gramStart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 в случае если</w:t>
      </w:r>
      <w:proofErr w:type="gramEnd"/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технические условия подлежат в соответствии с Правилами технологического присоединения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14:paraId="784606C5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Стороны составляют акт об осуществлении технологического присоединения по форме, и 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</w:r>
    </w:p>
    <w:p w14:paraId="317E9CB1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пунктом 14(2)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присоединения.</w:t>
      </w:r>
    </w:p>
    <w:p w14:paraId="614E0625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Запрещается навязывать заявителю услуги и обязательства, не предусмотренные Правилами технологического присоединения.</w:t>
      </w:r>
    </w:p>
    <w:p w14:paraId="094E9D1A" w14:textId="77777777" w:rsidR="006C1DA2" w:rsidRPr="006C1DA2" w:rsidRDefault="006C1DA2" w:rsidP="006C1DA2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19(1).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 также акта согласования технологической и (или) аварийной брони (для заявителей, указанных в </w:t>
      </w:r>
      <w:r w:rsidRPr="006C1DA2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14(2)</w:t>
      </w: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Правил технологического присоединения) направляет в письменном или электронном виде копии указанных актов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</w:r>
    </w:p>
    <w:p w14:paraId="27ED91E3" w14:textId="77777777" w:rsidR="006C1DA2" w:rsidRPr="006C1DA2" w:rsidRDefault="006C1DA2" w:rsidP="006C1DA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6C1DA2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Подлежащие в соответствии с Правилами технологического присоединения исполнению сетевой организацией действия по передаче копий документов заявителей в адрес соответствующих субъектов розничных рынков,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совершение.</w:t>
      </w:r>
    </w:p>
    <w:p w14:paraId="4DEC269A" w14:textId="382A6934" w:rsidR="00D80B03" w:rsidRPr="006C1DA2" w:rsidRDefault="00D80B03" w:rsidP="006C1DA2"/>
    <w:sectPr w:rsidR="00D80B03" w:rsidRPr="006C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39"/>
    <w:rsid w:val="006C1DA2"/>
    <w:rsid w:val="007167A9"/>
    <w:rsid w:val="008B06B1"/>
    <w:rsid w:val="00952F39"/>
    <w:rsid w:val="00D80B03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34B3"/>
  <w15:docId w15:val="{14C5E8AC-57E7-4583-B339-6DA53D6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2766</Words>
  <Characters>15769</Characters>
  <Application>Microsoft Office Word</Application>
  <DocSecurity>0</DocSecurity>
  <Lines>131</Lines>
  <Paragraphs>36</Paragraphs>
  <ScaleCrop>false</ScaleCrop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Evgeny.Nilov0@evraz.com</cp:lastModifiedBy>
  <cp:revision>2</cp:revision>
  <dcterms:created xsi:type="dcterms:W3CDTF">2024-02-26T02:27:00Z</dcterms:created>
  <dcterms:modified xsi:type="dcterms:W3CDTF">2024-02-26T02:27:00Z</dcterms:modified>
</cp:coreProperties>
</file>