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DC2C" w14:textId="6AF542F2" w:rsidR="004327BF" w:rsidRDefault="005752A3" w:rsidP="00CE2923">
      <w:pPr>
        <w:pStyle w:val="a6"/>
        <w:numPr>
          <w:ilvl w:val="0"/>
          <w:numId w:val="1"/>
        </w:numPr>
      </w:pPr>
      <w:r w:rsidRPr="00BD07AA">
        <w:t>Требования к месту установки приборов коммерческого учета электрической энергии</w:t>
      </w:r>
      <w:r w:rsidR="0072080A" w:rsidRPr="00BD07AA">
        <w:t>, и схемы подключения</w:t>
      </w:r>
      <w:r w:rsidRPr="00BD07AA">
        <w:t>:</w:t>
      </w:r>
    </w:p>
    <w:p w14:paraId="23C3AF0A" w14:textId="34E07B20" w:rsidR="0072080A" w:rsidRPr="00376547" w:rsidRDefault="00CE2923" w:rsidP="00CE2923">
      <w:pPr>
        <w:pStyle w:val="a6"/>
        <w:jc w:val="left"/>
        <w:rPr>
          <w:b/>
          <w:bCs/>
          <w:sz w:val="24"/>
          <w:szCs w:val="52"/>
        </w:rPr>
      </w:pPr>
      <w:r w:rsidRPr="00376547">
        <w:rPr>
          <w:b/>
          <w:bCs/>
          <w:sz w:val="24"/>
          <w:szCs w:val="52"/>
        </w:rPr>
        <w:t>1.1 Технические т</w:t>
      </w:r>
      <w:r w:rsidR="0072080A" w:rsidRPr="00376547">
        <w:rPr>
          <w:b/>
          <w:bCs/>
          <w:sz w:val="24"/>
          <w:szCs w:val="52"/>
        </w:rPr>
        <w:t>ребования гл. 1.5 ПУЭ изд.</w:t>
      </w:r>
      <w:r w:rsidRPr="00376547">
        <w:rPr>
          <w:b/>
          <w:bCs/>
          <w:sz w:val="24"/>
          <w:szCs w:val="52"/>
        </w:rPr>
        <w:t>7:</w:t>
      </w:r>
    </w:p>
    <w:p w14:paraId="251ED133" w14:textId="77777777" w:rsidR="001F52F5" w:rsidRPr="00AF276D" w:rsidRDefault="001F52F5" w:rsidP="001F52F5">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 xml:space="preserve">1.5.13. Каждый установленный расчетный счетчик должен иметь на винтах, крепящих кожух счетчика, пломбы с клеймом </w:t>
      </w:r>
      <w:proofErr w:type="spellStart"/>
      <w:r w:rsidRPr="00AF276D">
        <w:rPr>
          <w:rFonts w:ascii="Arial" w:eastAsiaTheme="minorEastAsia" w:hAnsi="Arial" w:cs="Arial"/>
          <w:sz w:val="20"/>
          <w:szCs w:val="20"/>
          <w:lang w:eastAsia="ru-RU"/>
        </w:rPr>
        <w:t>госповерителя</w:t>
      </w:r>
      <w:proofErr w:type="spellEnd"/>
      <w:r w:rsidRPr="00AF276D">
        <w:rPr>
          <w:rFonts w:ascii="Arial" w:eastAsiaTheme="minorEastAsia" w:hAnsi="Arial" w:cs="Arial"/>
          <w:sz w:val="20"/>
          <w:szCs w:val="20"/>
          <w:lang w:eastAsia="ru-RU"/>
        </w:rPr>
        <w:t>, а на зажимной крышке - пломбу энергоснабжающей организации.</w:t>
      </w:r>
    </w:p>
    <w:p w14:paraId="2A4C5EB5" w14:textId="77777777" w:rsidR="001F52F5" w:rsidRPr="00AF276D" w:rsidRDefault="001F52F5" w:rsidP="001F52F5">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14:paraId="4ED9FCAD" w14:textId="77777777" w:rsidR="001F52F5" w:rsidRPr="00AF276D" w:rsidRDefault="001F52F5" w:rsidP="001F52F5">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1.5.14. Учет активной и реактивной электроэнергии трехфазного тока должен производиться с помощью трехфазных счетчиков.</w:t>
      </w:r>
    </w:p>
    <w:p w14:paraId="1BBF5829" w14:textId="77777777" w:rsidR="0072080A" w:rsidRPr="00AF276D" w:rsidRDefault="0072080A" w:rsidP="00AF276D">
      <w:pPr>
        <w:ind w:firstLine="284"/>
        <w:rPr>
          <w:rFonts w:ascii="Arial" w:eastAsiaTheme="minorEastAsia" w:hAnsi="Arial" w:cs="Arial"/>
          <w:sz w:val="20"/>
          <w:szCs w:val="20"/>
          <w:lang w:eastAsia="ru-RU"/>
        </w:rPr>
      </w:pPr>
      <w:r w:rsidRPr="00AF276D">
        <w:rPr>
          <w:rFonts w:ascii="Arial" w:eastAsiaTheme="minorEastAsia" w:hAnsi="Arial" w:cs="Arial"/>
          <w:sz w:val="20"/>
          <w:szCs w:val="20"/>
          <w:lang w:eastAsia="ru-RU"/>
        </w:rPr>
        <w:t>1.5.27. Счетчики должны размещаться в легко доступных для обслуживания сухих помещениях, в достаточно свободном и не стесненном для работы месте с температурой в зимнее время не ниже 0°С.</w:t>
      </w:r>
    </w:p>
    <w:p w14:paraId="16A5D22C"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+40°С, а также в помещениях с агрессивными средами.</w:t>
      </w:r>
    </w:p>
    <w:p w14:paraId="727C9B14"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+20°С.</w:t>
      </w:r>
    </w:p>
    <w:p w14:paraId="315637D7"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1.5.28.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w:t>
      </w:r>
      <w:r w:rsidRPr="00AF276D">
        <w:rPr>
          <w:rFonts w:ascii="Arial" w:eastAsiaTheme="minorEastAsia" w:hAnsi="Arial" w:cs="Arial"/>
          <w:noProof/>
          <w:sz w:val="20"/>
          <w:szCs w:val="20"/>
          <w:lang w:eastAsia="ru-RU"/>
        </w:rPr>
        <w:drawing>
          <wp:inline distT="0" distB="0" distL="0" distR="0" wp14:anchorId="0A145CE9" wp14:editId="4A3CFD75">
            <wp:extent cx="127635" cy="12763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AF276D">
        <w:rPr>
          <w:rFonts w:ascii="Arial" w:eastAsiaTheme="minorEastAsia" w:hAnsi="Arial" w:cs="Arial"/>
          <w:sz w:val="20"/>
          <w:szCs w:val="20"/>
          <w:lang w:eastAsia="ru-RU"/>
        </w:rPr>
        <w:t>+25°С.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14:paraId="53A90A65"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1.5.29. Счетчики должны устанавливаться в шкафах, камерах комплектных распределительных устройствах (КРУ, КРУП), на панелях, щитах, в нишах, на стенах, имеющих жесткую конструкцию.</w:t>
      </w:r>
    </w:p>
    <w:p w14:paraId="1700B5FC"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Допускается крепление счетчиков на деревянных, пластмассовых или металлических щитках.</w:t>
      </w:r>
    </w:p>
    <w:p w14:paraId="1152509A"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Высота от пола до коробки зажимов счетчиков должна быть в пределах 0,8-1,7 м. Допускается высота менее 0,8 м, но не менее 0,4 м.</w:t>
      </w:r>
    </w:p>
    <w:p w14:paraId="1DEAE56F"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1.5.30.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 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14:paraId="1745C63A"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1.5.31. Конструкции и размеры шкафов, ниш, щитков и т. 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Конструкция его крепления должна обеспечивать возможность установки и съема счетчика с лицевой стороны.</w:t>
      </w:r>
    </w:p>
    <w:p w14:paraId="6AD266A0"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1.5.32. Электропроводки к счетчикам должны отвечать требованиям, приведенным в гл. 2.1 и 3.4.</w:t>
      </w:r>
    </w:p>
    <w:p w14:paraId="24B7F3E0"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lastRenderedPageBreak/>
        <w:t>1.5.33. В электропроводке к расчетным счетчикам наличие паек не допускается.</w:t>
      </w:r>
    </w:p>
    <w:p w14:paraId="401393A5"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1.5.34. Сечения проводов и кабелей, присоединяемых к счетчикам, должны приниматься в соответствии с 3.4.4 (см. также 1.5.19).</w:t>
      </w:r>
    </w:p>
    <w:p w14:paraId="4A13EE6B"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1.5.35.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14:paraId="79AE51AA"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1.5.36. 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14:paraId="2F7FDBF2"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Трансформаторы тока, используемые для присоединения счетчиков на напряжении до 380 В, должны устанавливаться после коммутационных аппаратов по направлению потока мощности.</w:t>
      </w:r>
    </w:p>
    <w:p w14:paraId="5725B00D"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 xml:space="preserve">1.5.37. Заземление (зануление) счетчиков и трансформаторов тока должно выполняться в соответствии с требованиями гл. 1.7. При этом заземляющие и нулевые защитные проводники от счетчиков и трансформаторов тока напряжением до 1 </w:t>
      </w:r>
      <w:proofErr w:type="spellStart"/>
      <w:r w:rsidRPr="00AF276D">
        <w:rPr>
          <w:rFonts w:ascii="Arial" w:eastAsiaTheme="minorEastAsia" w:hAnsi="Arial" w:cs="Arial"/>
          <w:sz w:val="20"/>
          <w:szCs w:val="20"/>
          <w:lang w:eastAsia="ru-RU"/>
        </w:rPr>
        <w:t>кВ</w:t>
      </w:r>
      <w:proofErr w:type="spellEnd"/>
      <w:r w:rsidRPr="00AF276D">
        <w:rPr>
          <w:rFonts w:ascii="Arial" w:eastAsiaTheme="minorEastAsia" w:hAnsi="Arial" w:cs="Arial"/>
          <w:sz w:val="20"/>
          <w:szCs w:val="20"/>
          <w:lang w:eastAsia="ru-RU"/>
        </w:rPr>
        <w:t xml:space="preserve"> до ближайшей сборки зажимов должны быть медными.</w:t>
      </w:r>
    </w:p>
    <w:p w14:paraId="300CE099" w14:textId="77777777" w:rsidR="0072080A" w:rsidRPr="00AF276D" w:rsidRDefault="0072080A" w:rsidP="0072080A">
      <w:pPr>
        <w:ind w:firstLine="225"/>
        <w:jc w:val="both"/>
        <w:rPr>
          <w:rFonts w:ascii="Arial" w:eastAsiaTheme="minorEastAsia" w:hAnsi="Arial" w:cs="Arial"/>
          <w:sz w:val="20"/>
          <w:szCs w:val="20"/>
          <w:lang w:eastAsia="ru-RU"/>
        </w:rPr>
      </w:pPr>
      <w:r w:rsidRPr="00AF276D">
        <w:rPr>
          <w:rFonts w:ascii="Arial" w:eastAsiaTheme="minorEastAsia" w:hAnsi="Arial" w:cs="Arial"/>
          <w:sz w:val="20"/>
          <w:szCs w:val="20"/>
          <w:lang w:eastAsia="ru-RU"/>
        </w:rPr>
        <w:t>1.5.38.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14:paraId="297E41C0" w14:textId="05E498E5" w:rsidR="00AF276D" w:rsidRPr="00376547" w:rsidRDefault="00AF276D" w:rsidP="00376547">
      <w:pPr>
        <w:pStyle w:val="a6"/>
        <w:rPr>
          <w:b/>
          <w:bCs/>
          <w:sz w:val="24"/>
          <w:szCs w:val="52"/>
        </w:rPr>
      </w:pPr>
      <w:r w:rsidRPr="00376547">
        <w:rPr>
          <w:b/>
          <w:bCs/>
          <w:sz w:val="24"/>
          <w:szCs w:val="52"/>
        </w:rPr>
        <w:t>1.2 Требования Правил организации учета на розничных рынках электрической энергии, утвержденных постановление правительства РФ №442 от 04.05.2012г.</w:t>
      </w:r>
    </w:p>
    <w:p w14:paraId="43D1E253" w14:textId="612A48F0" w:rsidR="00AF276D" w:rsidRDefault="00AF276D" w:rsidP="00A32CC0">
      <w:pPr>
        <w:pStyle w:val="ConsPlusNormal"/>
        <w:spacing w:before="200" w:line="276" w:lineRule="auto"/>
        <w:ind w:firstLine="540"/>
        <w:jc w:val="both"/>
      </w:pPr>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6" w:tooltip="Постановление Правительства РФ от 27.12.2004 N 861 (ред. от 30.06.2021)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 w:history="1">
        <w:r>
          <w:rPr>
            <w:color w:val="0000FF"/>
          </w:rPr>
          <w:t>Правилами</w:t>
        </w:r>
      </w:hyperlink>
      <w:r>
        <w:t xml:space="preserve"> технологического присоединения.</w:t>
      </w:r>
    </w:p>
    <w:p w14:paraId="65E45FA5" w14:textId="77777777" w:rsidR="00AF276D" w:rsidRDefault="00AF276D" w:rsidP="00A32CC0">
      <w:pPr>
        <w:pStyle w:val="ConsPlusNormal"/>
        <w:spacing w:before="200" w:line="276" w:lineRule="auto"/>
        <w:ind w:firstLine="540"/>
        <w:jc w:val="both"/>
      </w:pPr>
      <w:bookmarkStart w:id="0" w:name="Par1473"/>
      <w:bookmarkEnd w:id="0"/>
      <w:r>
        <w:t xml:space="preserve">Для учета объемов производства электрической энергии производителями электрической энергии (мощности) на розничных рынках, за исключением объектов </w:t>
      </w:r>
      <w:proofErr w:type="spellStart"/>
      <w:r>
        <w:t>микрогенерации</w:t>
      </w:r>
      <w:proofErr w:type="spellEnd"/>
      <w:r>
        <w:t>,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14:paraId="088797A6" w14:textId="77777777" w:rsidR="00AF276D" w:rsidRDefault="00AF276D" w:rsidP="00A32CC0">
      <w:pPr>
        <w:pStyle w:val="ConsPlusNormal"/>
        <w:spacing w:before="200" w:line="276" w:lineRule="auto"/>
        <w:ind w:firstLine="540"/>
        <w:jc w:val="both"/>
      </w:pPr>
      <w:r>
        <w:t xml:space="preserve">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w:t>
      </w:r>
      <w:r>
        <w:lastRenderedPageBreak/>
        <w:t>этом необходимо руководствоваться документом (актом), который был оформлен и подписан позднее.</w:t>
      </w:r>
    </w:p>
    <w:p w14:paraId="54D173CD" w14:textId="77777777" w:rsidR="00AF276D" w:rsidRDefault="00AF276D" w:rsidP="00A32CC0">
      <w:pPr>
        <w:pStyle w:val="ConsPlusNormal"/>
        <w:spacing w:before="200" w:line="276" w:lineRule="auto"/>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14:paraId="025457AB" w14:textId="77777777" w:rsidR="00AF276D" w:rsidRDefault="00AF276D" w:rsidP="00A32CC0">
      <w:pPr>
        <w:pStyle w:val="ConsPlusNormal"/>
        <w:spacing w:before="200" w:line="276" w:lineRule="auto"/>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14:paraId="78B3E694" w14:textId="77777777" w:rsidR="00AF276D" w:rsidRDefault="00AF276D" w:rsidP="00A32CC0">
      <w:pPr>
        <w:pStyle w:val="ConsPlusNormal"/>
        <w:spacing w:before="200" w:line="276" w:lineRule="auto"/>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14:paraId="28A1A319" w14:textId="77777777" w:rsidR="00AF276D" w:rsidRDefault="00AF276D" w:rsidP="00A32CC0">
      <w:pPr>
        <w:pStyle w:val="ConsPlusNormal"/>
        <w:spacing w:before="200" w:line="276" w:lineRule="auto"/>
        <w:ind w:firstLine="540"/>
        <w:jc w:val="both"/>
      </w:pPr>
      <w:r>
        <w:t>Техническая возможность установки прибора учета отсутствует, если выполняется хотя бы одно из следующих условий:</w:t>
      </w:r>
    </w:p>
    <w:p w14:paraId="5BFAACB4" w14:textId="77777777" w:rsidR="00AF276D" w:rsidRDefault="00AF276D" w:rsidP="00A32CC0">
      <w:pPr>
        <w:pStyle w:val="ConsPlusNormal"/>
        <w:spacing w:before="200" w:line="276" w:lineRule="auto"/>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14:paraId="3AC05F31" w14:textId="77777777" w:rsidR="00AF276D" w:rsidRDefault="00AF276D" w:rsidP="00A32CC0">
      <w:pPr>
        <w:pStyle w:val="ConsPlusNormal"/>
        <w:spacing w:before="200" w:line="276" w:lineRule="auto"/>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14:paraId="0110A090" w14:textId="7F7E6942" w:rsidR="00AF276D" w:rsidRDefault="00AF276D" w:rsidP="00A32CC0">
      <w:pPr>
        <w:pStyle w:val="ConsPlusNormal"/>
        <w:spacing w:before="200" w:line="276" w:lineRule="auto"/>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F9909B4" w14:textId="77777777" w:rsidR="00376547" w:rsidRDefault="00376547" w:rsidP="00AF276D">
      <w:pPr>
        <w:pStyle w:val="ConsPlusNormal"/>
        <w:spacing w:before="200"/>
        <w:ind w:firstLine="540"/>
        <w:jc w:val="both"/>
      </w:pPr>
    </w:p>
    <w:p w14:paraId="22DD0381" w14:textId="54A9CE7F" w:rsidR="0072080A" w:rsidRDefault="0072080A" w:rsidP="00376547">
      <w:pPr>
        <w:pStyle w:val="a6"/>
        <w:numPr>
          <w:ilvl w:val="0"/>
          <w:numId w:val="1"/>
        </w:numPr>
      </w:pPr>
      <w:r w:rsidRPr="00376547">
        <w:t>Требования к метрологическим характеристикам приборов коммерческого учета электрической энергии</w:t>
      </w:r>
      <w:r w:rsidR="00376547">
        <w:t>.</w:t>
      </w:r>
    </w:p>
    <w:p w14:paraId="461C54C2" w14:textId="71FB66F6" w:rsidR="00376547" w:rsidRPr="00376547" w:rsidRDefault="00376547" w:rsidP="00376547">
      <w:pPr>
        <w:pStyle w:val="a6"/>
        <w:ind w:left="360"/>
        <w:jc w:val="left"/>
        <w:rPr>
          <w:b/>
          <w:bCs/>
          <w:sz w:val="24"/>
          <w:szCs w:val="52"/>
        </w:rPr>
      </w:pPr>
      <w:r>
        <w:rPr>
          <w:b/>
          <w:bCs/>
          <w:sz w:val="24"/>
          <w:szCs w:val="52"/>
        </w:rPr>
        <w:t>2.1</w:t>
      </w:r>
      <w:r w:rsidRPr="00376547">
        <w:rPr>
          <w:b/>
          <w:bCs/>
          <w:sz w:val="24"/>
          <w:szCs w:val="52"/>
        </w:rPr>
        <w:t xml:space="preserve"> Требования Правил организации учета на розничных рынках электрической энергии, утвержденных постановление правительства РФ №442 от 04.05.2012г.</w:t>
      </w:r>
    </w:p>
    <w:p w14:paraId="0A24F08E" w14:textId="77777777" w:rsidR="00376547" w:rsidRDefault="00376547" w:rsidP="00A32CC0">
      <w:pPr>
        <w:pStyle w:val="ConsPlusNormal"/>
        <w:spacing w:before="200" w:line="276" w:lineRule="auto"/>
        <w:ind w:firstLine="540"/>
        <w:jc w:val="both"/>
      </w:pPr>
      <w:r>
        <w:t xml:space="preserve">Для учета потребляемой (производимой) электрической энергии подлежат использованию </w:t>
      </w:r>
      <w:r>
        <w:lastRenderedPageBreak/>
        <w:t>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14:paraId="72C75E64" w14:textId="4345BCD3" w:rsidR="00376547" w:rsidRDefault="00376547" w:rsidP="00A32CC0">
      <w:pPr>
        <w:pStyle w:val="ConsPlusNormal"/>
        <w:spacing w:before="200" w:line="276" w:lineRule="auto"/>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14:paraId="6569D101" w14:textId="77777777" w:rsidR="00A32CC0" w:rsidRDefault="00A32CC0" w:rsidP="00A32CC0">
      <w:pPr>
        <w:pStyle w:val="ConsPlusNormal"/>
        <w:spacing w:before="200" w:line="276" w:lineRule="auto"/>
        <w:ind w:firstLine="540"/>
        <w:jc w:val="both"/>
      </w:pPr>
    </w:p>
    <w:p w14:paraId="0030B7D1" w14:textId="4E8B7280" w:rsidR="00376547" w:rsidRPr="00376547" w:rsidRDefault="00376547" w:rsidP="00376547">
      <w:pPr>
        <w:pStyle w:val="a6"/>
        <w:ind w:left="360"/>
        <w:rPr>
          <w:b/>
          <w:bCs/>
          <w:sz w:val="24"/>
          <w:szCs w:val="52"/>
        </w:rPr>
      </w:pPr>
      <w:r>
        <w:rPr>
          <w:b/>
          <w:bCs/>
          <w:sz w:val="24"/>
          <w:szCs w:val="52"/>
        </w:rPr>
        <w:t>2.2</w:t>
      </w:r>
      <w:r w:rsidRPr="00376547">
        <w:rPr>
          <w:b/>
          <w:bCs/>
          <w:sz w:val="24"/>
          <w:szCs w:val="52"/>
        </w:rPr>
        <w:t xml:space="preserve"> Требования </w:t>
      </w:r>
      <w:r>
        <w:rPr>
          <w:b/>
          <w:bCs/>
          <w:sz w:val="24"/>
          <w:szCs w:val="52"/>
        </w:rPr>
        <w:t xml:space="preserve">Постановления правительства РФ №890 от 19.06.2020г. </w:t>
      </w:r>
      <w:r w:rsidRPr="00376547">
        <w:rPr>
          <w:b/>
          <w:bCs/>
          <w:sz w:val="24"/>
          <w:szCs w:val="52"/>
        </w:rPr>
        <w:t xml:space="preserve"> "О порядке предоставления доступа к минимальному набору функций интеллектуальных</w:t>
      </w:r>
      <w:r>
        <w:rPr>
          <w:b/>
          <w:bCs/>
          <w:sz w:val="24"/>
          <w:szCs w:val="52"/>
        </w:rPr>
        <w:t xml:space="preserve"> </w:t>
      </w:r>
      <w:r w:rsidRPr="00376547">
        <w:rPr>
          <w:b/>
          <w:bCs/>
          <w:sz w:val="24"/>
          <w:szCs w:val="52"/>
        </w:rPr>
        <w:t>систем учета электрической энергии (мощности)"</w:t>
      </w:r>
    </w:p>
    <w:p w14:paraId="68397105" w14:textId="0E5C2FE3" w:rsidR="00376547" w:rsidRDefault="00376547" w:rsidP="00A32CC0">
      <w:pPr>
        <w:pStyle w:val="ConsPlusNormal"/>
        <w:spacing w:before="240" w:line="276" w:lineRule="auto"/>
        <w:ind w:firstLine="540"/>
        <w:jc w:val="both"/>
      </w:pPr>
      <w:r>
        <w:t>а) измерение активной и реактивной энергии в сетях переменного тока в двух направлениях с классом точности 1,0 и выше по активной энергии и 2,0 по реактивной энергии (0,5S и выше по активной энергии и 1,0 по реактивной энергии для приборов учета электрической энергии трансформаторного включения)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w:t>
      </w:r>
    </w:p>
    <w:p w14:paraId="01A5CEC5" w14:textId="77777777" w:rsidR="00376547" w:rsidRDefault="00376547" w:rsidP="00376547">
      <w:pPr>
        <w:pStyle w:val="ConsPlusNormal"/>
        <w:spacing w:before="240"/>
        <w:ind w:firstLine="540"/>
        <w:jc w:val="both"/>
      </w:pPr>
    </w:p>
    <w:p w14:paraId="03166CE5" w14:textId="586A8811" w:rsidR="00376547" w:rsidRDefault="00376547" w:rsidP="00376547">
      <w:pPr>
        <w:pStyle w:val="a6"/>
        <w:numPr>
          <w:ilvl w:val="0"/>
          <w:numId w:val="1"/>
        </w:numPr>
      </w:pPr>
      <w:r w:rsidRPr="00376547">
        <w:t xml:space="preserve">Требования к </w:t>
      </w:r>
      <w:r>
        <w:t>схемам подключения приб</w:t>
      </w:r>
      <w:r w:rsidR="0087403E">
        <w:t>оров учета электрической энергии</w:t>
      </w:r>
      <w:r>
        <w:t>.</w:t>
      </w:r>
    </w:p>
    <w:p w14:paraId="4E1BFFD6" w14:textId="44AFDD2A" w:rsidR="00376547" w:rsidRDefault="0087403E" w:rsidP="00A32CC0">
      <w:pPr>
        <w:pStyle w:val="ConsPlusNormal"/>
        <w:spacing w:before="200" w:line="276" w:lineRule="auto"/>
        <w:ind w:firstLine="540"/>
        <w:jc w:val="both"/>
      </w:pPr>
      <w:r>
        <w:t xml:space="preserve">Подключение счетчиков </w:t>
      </w:r>
      <w:proofErr w:type="spellStart"/>
      <w:proofErr w:type="gramStart"/>
      <w:r>
        <w:t>эл.энергии</w:t>
      </w:r>
      <w:proofErr w:type="spellEnd"/>
      <w:proofErr w:type="gramEnd"/>
      <w:r>
        <w:t xml:space="preserve"> следует выполнять в соответствии с указаниями эксплуатационной документацией на устанавливаемый счетчик.</w:t>
      </w:r>
    </w:p>
    <w:p w14:paraId="3F6C2C32" w14:textId="77777777" w:rsidR="0087403E" w:rsidRDefault="0087403E" w:rsidP="00A32CC0">
      <w:pPr>
        <w:pStyle w:val="ConsPlusNormal"/>
        <w:spacing w:before="200" w:line="276" w:lineRule="auto"/>
        <w:ind w:firstLine="540"/>
        <w:jc w:val="both"/>
      </w:pPr>
      <w:r>
        <w:t>К работам по монтажу, техническому обслуживанию и ремонту счетчика допускаются лица, прошедшие инструктаж по технике безопасности и имеющие квалификационную группу по электробезопасности не ниже III для электроустановок до 1000 В.</w:t>
      </w:r>
    </w:p>
    <w:p w14:paraId="5DD2DC35" w14:textId="77777777" w:rsidR="0087403E" w:rsidRDefault="0087403E" w:rsidP="00A32CC0">
      <w:pPr>
        <w:pStyle w:val="ConsPlusNormal"/>
        <w:spacing w:before="200" w:line="276" w:lineRule="auto"/>
        <w:ind w:firstLine="540"/>
        <w:jc w:val="both"/>
      </w:pPr>
      <w:r>
        <w:t>Все работы, связанные с монтажом счетчика, должны производиться при отключенной сети.</w:t>
      </w:r>
    </w:p>
    <w:p w14:paraId="292D2544" w14:textId="0E7D55E5" w:rsidR="0087403E" w:rsidRDefault="0087403E" w:rsidP="00A32CC0">
      <w:pPr>
        <w:pStyle w:val="ConsPlusNormal"/>
        <w:spacing w:before="200" w:line="276" w:lineRule="auto"/>
        <w:ind w:firstLine="540"/>
        <w:jc w:val="both"/>
      </w:pPr>
      <w:r>
        <w:t>При проведении работ по монтажу и обслуживанию счетчика должны быть соблюдены требования ГОСТ 12.2.007.0-75, «Правила технической эксплуатации электроустановок потребителей» и «Межотраслевые правила по охране труда (правила безопасности) при эксплуатации электроустановок».</w:t>
      </w:r>
    </w:p>
    <w:p w14:paraId="29C471EB" w14:textId="7954D82D" w:rsidR="0087403E" w:rsidRPr="00376547" w:rsidRDefault="0087403E" w:rsidP="0087403E">
      <w:pPr>
        <w:pStyle w:val="ConsPlusNormal"/>
        <w:spacing w:before="200"/>
        <w:ind w:firstLine="540"/>
        <w:jc w:val="both"/>
      </w:pPr>
    </w:p>
    <w:sectPr w:rsidR="0087403E" w:rsidRPr="00376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6D9"/>
    <w:multiLevelType w:val="hybridMultilevel"/>
    <w:tmpl w:val="03808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D7"/>
    <w:rsid w:val="001F52F5"/>
    <w:rsid w:val="002916E8"/>
    <w:rsid w:val="00376547"/>
    <w:rsid w:val="004327BF"/>
    <w:rsid w:val="00465FD7"/>
    <w:rsid w:val="005752A3"/>
    <w:rsid w:val="0072080A"/>
    <w:rsid w:val="0087403E"/>
    <w:rsid w:val="00A32CC0"/>
    <w:rsid w:val="00A579D7"/>
    <w:rsid w:val="00AF276D"/>
    <w:rsid w:val="00BD07AA"/>
    <w:rsid w:val="00CE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7AB2"/>
  <w15:docId w15:val="{0A7F0759-920A-4ED9-A679-B11B821D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2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208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80A"/>
    <w:rPr>
      <w:rFonts w:ascii="Tahoma" w:hAnsi="Tahoma" w:cs="Tahoma"/>
      <w:sz w:val="16"/>
      <w:szCs w:val="16"/>
    </w:rPr>
  </w:style>
  <w:style w:type="character" w:styleId="a5">
    <w:name w:val="Hyperlink"/>
    <w:basedOn w:val="a0"/>
    <w:uiPriority w:val="99"/>
    <w:semiHidden/>
    <w:unhideWhenUsed/>
    <w:rsid w:val="00CE2923"/>
    <w:rPr>
      <w:color w:val="0000FF"/>
      <w:u w:val="single"/>
    </w:rPr>
  </w:style>
  <w:style w:type="paragraph" w:styleId="a6">
    <w:name w:val="Title"/>
    <w:basedOn w:val="a"/>
    <w:next w:val="a"/>
    <w:link w:val="a7"/>
    <w:uiPriority w:val="10"/>
    <w:qFormat/>
    <w:rsid w:val="00CE2923"/>
    <w:pPr>
      <w:spacing w:after="0" w:line="360" w:lineRule="auto"/>
      <w:contextualSpacing/>
      <w:jc w:val="center"/>
    </w:pPr>
    <w:rPr>
      <w:rFonts w:asciiTheme="majorHAnsi" w:eastAsiaTheme="majorEastAsia" w:hAnsiTheme="majorHAnsi" w:cstheme="majorBidi"/>
      <w:spacing w:val="-10"/>
      <w:kern w:val="28"/>
      <w:sz w:val="28"/>
      <w:szCs w:val="56"/>
    </w:rPr>
  </w:style>
  <w:style w:type="character" w:customStyle="1" w:styleId="a7">
    <w:name w:val="Заголовок Знак"/>
    <w:basedOn w:val="a0"/>
    <w:link w:val="a6"/>
    <w:uiPriority w:val="10"/>
    <w:rsid w:val="00CE2923"/>
    <w:rPr>
      <w:rFonts w:asciiTheme="majorHAnsi" w:eastAsiaTheme="majorEastAsia" w:hAnsiTheme="majorHAnsi"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6604D275EC773337CEDB82075DD4DCDC7CCB5B516177D6F504E1A86AC04535E9B55C2AC019F30F3FE543EA8ED2AB51CF0510385467C5B2E2AB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Evgeny.Nilov@evraz.com</dc:creator>
  <cp:keywords/>
  <dc:description/>
  <cp:lastModifiedBy>Evgeny.Nilov0@evraz.com</cp:lastModifiedBy>
  <cp:revision>4</cp:revision>
  <dcterms:created xsi:type="dcterms:W3CDTF">2022-05-19T02:04:00Z</dcterms:created>
  <dcterms:modified xsi:type="dcterms:W3CDTF">2022-05-19T03:10:00Z</dcterms:modified>
</cp:coreProperties>
</file>